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B4" w:rsidRDefault="00546DB4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rPr>
          <w:rFonts w:eastAsia="Times New Roman"/>
          <w:lang w:eastAsia="tr-TR"/>
        </w:rPr>
      </w:pPr>
    </w:p>
    <w:p w:rsid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rPr>
          <w:rFonts w:eastAsia="Times New Roman"/>
          <w:lang w:eastAsia="tr-TR"/>
        </w:rPr>
      </w:pPr>
    </w:p>
    <w:p w:rsid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rPr>
          <w:rFonts w:eastAsia="Times New Roman"/>
          <w:lang w:eastAsia="tr-TR"/>
        </w:rPr>
      </w:pPr>
    </w:p>
    <w:p w:rsid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rPr>
          <w:rFonts w:eastAsia="Times New Roman"/>
          <w:lang w:eastAsia="tr-TR"/>
        </w:rPr>
      </w:pPr>
    </w:p>
    <w:p w:rsid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eastAsia="Times New Roman"/>
          <w:lang w:eastAsia="tr-TR"/>
        </w:rPr>
      </w:pPr>
      <w:r>
        <w:rPr>
          <w:noProof/>
          <w:lang w:eastAsia="tr-TR"/>
        </w:rPr>
        <w:drawing>
          <wp:inline distT="0" distB="0" distL="0" distR="0" wp14:anchorId="2532F1DC" wp14:editId="2E755612">
            <wp:extent cx="1952625" cy="1819275"/>
            <wp:effectExtent l="0" t="0" r="9525" b="9525"/>
            <wp:docPr id="1" name="Resim 1" descr="25x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x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rPr>
          <w:rFonts w:eastAsia="Times New Roman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FFE599" w:themeFill="accent4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3B6F65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BANDIRMA ONYEDİ EYLÜL ÜNİVERSİTESİ</w:t>
      </w: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FFE599" w:themeFill="accent4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3B6F65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İKTİSADİ VE İDARİ BİLİMLER FAKÜLTESİ</w:t>
      </w: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1B394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FFE599" w:themeFill="accent4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MALİYE</w:t>
      </w:r>
      <w:r w:rsidR="003B6F65" w:rsidRPr="003B6F65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 xml:space="preserve"> BÖLÜMÜ</w:t>
      </w: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FFE599" w:themeFill="accent4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3B6F65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FAALİYET RAPORU</w:t>
      </w:r>
    </w:p>
    <w:p w:rsidR="00650C44" w:rsidRPr="00650C44" w:rsidRDefault="00650C44" w:rsidP="00650C44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FFE599" w:themeFill="accent4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01.01.2018-31.12.2018</w:t>
      </w:r>
    </w:p>
    <w:p w:rsidR="00650C44" w:rsidRDefault="00650C44" w:rsidP="009911C0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650C44" w:rsidRDefault="00650C44" w:rsidP="00650C44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 w:rsidRPr="00650C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lastRenderedPageBreak/>
        <w:t>I - GENEL BİLGİLER</w:t>
      </w:r>
    </w:p>
    <w:p w:rsidR="00650C44" w:rsidRPr="00650C44" w:rsidRDefault="00650C44" w:rsidP="00650C44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</w:p>
    <w:p w:rsidR="005E5F98" w:rsidRDefault="00621F0A" w:rsidP="009911C0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D345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Maliye Bölümü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Pr="000D345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Balıkesir Üniversitesi Bandırma İktisadi ve İdari Bilimler Fakültesine Bağ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lı olarak 2003 yılında kurulmuştur.</w:t>
      </w:r>
      <w:r w:rsidRPr="000D345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Bölüm; 23 Nisan 2015 tarih ve 29335 sayılı Resmi Gazete’ de yayınlanan 6640 sayılı Kanun'la kurulan Bandırma Onyedi Eylül Üniversitesi İktisadi ve İdari Bilimler Fakültesine bağlanmıştır. Bölümde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eğitim süresi hazırlık hariç dört yıldır ve İngilizce hazırlık s</w:t>
      </w:r>
      <w:r w:rsidRPr="000D345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ınıfı uygulaması öğrenci isteğine bağlı olarak uygulanmaktadır.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:rsidR="00513817" w:rsidRPr="004C2302" w:rsidRDefault="00513817" w:rsidP="009911C0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</w:pPr>
    </w:p>
    <w:p w:rsidR="009911C0" w:rsidRPr="004C2302" w:rsidRDefault="009911C0" w:rsidP="001B530A">
      <w:pP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</w:pPr>
    </w:p>
    <w:p w:rsidR="00513817" w:rsidRPr="00513817" w:rsidRDefault="00513817" w:rsidP="0051381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5138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Normal öğretim ve ikinci öğretim düzeyinde eğitim-öğretim veren Maliye Bölümündeki eğitim ve akademik faaliyetler aşağıdaki anabilim dalları bünyesinde yürütülmektedir</w:t>
      </w:r>
      <w:r w:rsidRPr="0051381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</w:t>
      </w:r>
    </w:p>
    <w:p w:rsidR="00513817" w:rsidRPr="00B91A1A" w:rsidRDefault="00513817" w:rsidP="00513817">
      <w:pPr>
        <w:pStyle w:val="ListeParagraf"/>
        <w:numPr>
          <w:ilvl w:val="0"/>
          <w:numId w:val="11"/>
        </w:num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</w:pPr>
      <w:r w:rsidRPr="00B91A1A"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  <w:t>Mali İktisat</w:t>
      </w:r>
    </w:p>
    <w:p w:rsidR="00513817" w:rsidRPr="00B91A1A" w:rsidRDefault="00513817" w:rsidP="00513817">
      <w:pPr>
        <w:pStyle w:val="ListeParagraf"/>
        <w:numPr>
          <w:ilvl w:val="0"/>
          <w:numId w:val="11"/>
        </w:num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</w:pPr>
      <w:r w:rsidRPr="00B91A1A"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  <w:t>Maliye Teorisi</w:t>
      </w:r>
    </w:p>
    <w:p w:rsidR="00513817" w:rsidRPr="00B91A1A" w:rsidRDefault="00513817" w:rsidP="00513817">
      <w:pPr>
        <w:pStyle w:val="ListeParagraf"/>
        <w:numPr>
          <w:ilvl w:val="0"/>
          <w:numId w:val="11"/>
        </w:num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</w:pPr>
      <w:r w:rsidRPr="00B91A1A"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  <w:t>Mali Hukuk</w:t>
      </w:r>
    </w:p>
    <w:p w:rsidR="00513817" w:rsidRPr="00B91A1A" w:rsidRDefault="00513817" w:rsidP="00513817">
      <w:pPr>
        <w:pStyle w:val="ListeParagraf"/>
        <w:numPr>
          <w:ilvl w:val="0"/>
          <w:numId w:val="11"/>
        </w:num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</w:pPr>
      <w:r w:rsidRPr="00B91A1A"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  <w:t>Bütçe ve Mali Planlama</w:t>
      </w:r>
    </w:p>
    <w:p w:rsidR="009911C0" w:rsidRPr="004C2302" w:rsidRDefault="009911C0" w:rsidP="001B530A">
      <w:pP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</w:pPr>
    </w:p>
    <w:p w:rsidR="00A15924" w:rsidRDefault="00A15924" w:rsidP="00650C44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</w:pPr>
    </w:p>
    <w:p w:rsidR="00A15924" w:rsidRDefault="00513817" w:rsidP="00650C44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</w:pPr>
      <w:r w:rsidRPr="000D345D"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  <w:t>Bölüm Maliye disiplininin her alanında öğrencilere kılavuzluk edecek, onların mali konularda düşünebilme ve karar verebilme yeteneklerini geliştirebilecek, kendi alanlarında uzman genç ve dinamik bir kadroya sahiptir.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  <w:t xml:space="preserve"> </w:t>
      </w:r>
    </w:p>
    <w:p w:rsidR="00A15924" w:rsidRDefault="00513817" w:rsidP="00650C44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</w:pPr>
      <w:r w:rsidRPr="000D345D"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  <w:t>Maliye bölümü, lisans öğrencilerine Çift Anadal ve Yandal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  <w:t xml:space="preserve"> programlarından yararlanma imkâ</w:t>
      </w:r>
      <w:r w:rsidRPr="000D345D"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  <w:t>nı sağlar.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  <w:t xml:space="preserve"> </w:t>
      </w:r>
    </w:p>
    <w:p w:rsidR="00650C44" w:rsidRDefault="00513817" w:rsidP="00650C44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  <w:t>Bunun yanı sıra bölümümüzde Tezli Yüks</w:t>
      </w:r>
      <w:r w:rsidR="005A1DF9"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  <w:t>ek Lisans programı da mevcuttur</w:t>
      </w:r>
      <w:r w:rsidR="00650C44">
        <w:rPr>
          <w:rFonts w:ascii="Times New Roman" w:eastAsia="Times New Roman" w:hAnsi="Times New Roman" w:cs="Times New Roman"/>
          <w:color w:val="333333"/>
          <w:sz w:val="24"/>
          <w:szCs w:val="20"/>
          <w:lang w:eastAsia="tr-TR"/>
        </w:rPr>
        <w:t>.</w:t>
      </w:r>
    </w:p>
    <w:p w:rsidR="00A15924" w:rsidRPr="004C2302" w:rsidRDefault="00A15924" w:rsidP="00A15924">
      <w:pP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</w:pPr>
    </w:p>
    <w:p w:rsidR="00A15924" w:rsidRDefault="00A15924" w:rsidP="00A1592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tr-TR"/>
        </w:rPr>
      </w:pPr>
    </w:p>
    <w:p w:rsidR="00A15924" w:rsidRDefault="00A15924" w:rsidP="00A1592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tr-TR"/>
        </w:rPr>
      </w:pPr>
      <w:r w:rsidRPr="000608D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tr-TR"/>
        </w:rPr>
        <w:t xml:space="preserve">Maliye eğitiminin amacı öğrencileri yurtiçi ve dünya ekonomilerinin kurum ve işleyiş kuralları alanında eğiterek kamu sektöründe ve özel sektörde yer alan bankalar, finansal kuruluşlar, yarı-kamusal ve özel girişimlerde ihtiyaç duyulan elemanlar olarak yetiştirmektir. </w:t>
      </w:r>
    </w:p>
    <w:p w:rsidR="00A15924" w:rsidRPr="004C2302" w:rsidRDefault="00A15924" w:rsidP="00A15924">
      <w:pP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</w:pPr>
    </w:p>
    <w:p w:rsidR="00A15924" w:rsidRDefault="00A15924" w:rsidP="00A15924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</w:rPr>
      </w:pPr>
    </w:p>
    <w:p w:rsidR="00A15924" w:rsidRDefault="00A15924" w:rsidP="00650C4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A84F27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</w:rPr>
        <w:t>Programımızın temel hedefi öğrencilerimizin bilimsel bir ortamda eğitim almalarını sağlamak suretiyle; ekonomik ve mali olayları her yönüyle değerlendirebilmelerini sağlamak ve mezun olduklarında karşılaşacakları rekabetçi iş ortamına hazırlamaktır.</w:t>
      </w:r>
    </w:p>
    <w:p w:rsidR="005A1DF9" w:rsidRPr="00A15924" w:rsidRDefault="005A1DF9" w:rsidP="00650C4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lastRenderedPageBreak/>
        <w:t xml:space="preserve"> </w:t>
      </w:r>
      <w:r w:rsidR="00650C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II – BÖLÜM YÖNETİMİ VE AKADEMİK YAPI</w:t>
      </w:r>
    </w:p>
    <w:p w:rsidR="001122DE" w:rsidRPr="001122DE" w:rsidRDefault="0086681D" w:rsidP="00F27994">
      <w:pPr>
        <w:shd w:val="clear" w:color="auto" w:fill="FFE599" w:themeFill="accent4" w:themeFillTint="6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MALİYE</w:t>
      </w:r>
      <w:r w:rsidR="001122DE" w:rsidRPr="001122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BÖLÜMÜ ÖĞRETİM ELEMANI SAYILARI</w:t>
      </w:r>
      <w:r w:rsidR="004938F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1122DE" w:rsidRPr="001122DE" w:rsidTr="005A5AA0">
        <w:tc>
          <w:tcPr>
            <w:tcW w:w="6941" w:type="dxa"/>
            <w:shd w:val="clear" w:color="auto" w:fill="FFFFFF" w:themeFill="background1"/>
          </w:tcPr>
          <w:p w:rsidR="001122DE" w:rsidRPr="001122DE" w:rsidRDefault="001122DE" w:rsidP="001122DE">
            <w:pPr>
              <w:spacing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2121" w:type="dxa"/>
            <w:shd w:val="clear" w:color="auto" w:fill="FFFFFF" w:themeFill="background1"/>
          </w:tcPr>
          <w:p w:rsidR="001122DE" w:rsidRPr="001122DE" w:rsidRDefault="001B3945" w:rsidP="005214A6">
            <w:pPr>
              <w:spacing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</w:t>
            </w:r>
          </w:p>
        </w:tc>
      </w:tr>
      <w:tr w:rsidR="001122DE" w:rsidRPr="001122DE" w:rsidTr="005A5AA0">
        <w:tc>
          <w:tcPr>
            <w:tcW w:w="6941" w:type="dxa"/>
            <w:shd w:val="clear" w:color="auto" w:fill="FFFFFF" w:themeFill="background1"/>
          </w:tcPr>
          <w:p w:rsidR="001122DE" w:rsidRPr="001122DE" w:rsidRDefault="001122DE" w:rsidP="001122DE">
            <w:pPr>
              <w:spacing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Doç. Dr. </w:t>
            </w:r>
          </w:p>
        </w:tc>
        <w:tc>
          <w:tcPr>
            <w:tcW w:w="2121" w:type="dxa"/>
            <w:shd w:val="clear" w:color="auto" w:fill="FFFFFF" w:themeFill="background1"/>
          </w:tcPr>
          <w:p w:rsidR="001122DE" w:rsidRPr="001122DE" w:rsidRDefault="001B3945" w:rsidP="005214A6">
            <w:pPr>
              <w:spacing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</w:t>
            </w:r>
          </w:p>
        </w:tc>
      </w:tr>
      <w:tr w:rsidR="001122DE" w:rsidRPr="001122DE" w:rsidTr="005A5AA0">
        <w:tc>
          <w:tcPr>
            <w:tcW w:w="6941" w:type="dxa"/>
            <w:shd w:val="clear" w:color="auto" w:fill="FFFFFF" w:themeFill="background1"/>
          </w:tcPr>
          <w:p w:rsidR="001122DE" w:rsidRPr="001122DE" w:rsidRDefault="00065124" w:rsidP="001122DE">
            <w:pPr>
              <w:spacing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Dr.</w:t>
            </w:r>
            <w:r w:rsidR="009B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Öğr.</w:t>
            </w:r>
            <w:r w:rsidR="009B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Üyesi</w:t>
            </w:r>
          </w:p>
        </w:tc>
        <w:tc>
          <w:tcPr>
            <w:tcW w:w="2121" w:type="dxa"/>
            <w:shd w:val="clear" w:color="auto" w:fill="FFFFFF" w:themeFill="background1"/>
          </w:tcPr>
          <w:p w:rsidR="001122DE" w:rsidRPr="001122DE" w:rsidRDefault="001B3945" w:rsidP="005214A6">
            <w:pPr>
              <w:spacing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</w:t>
            </w:r>
          </w:p>
        </w:tc>
      </w:tr>
      <w:tr w:rsidR="001122DE" w:rsidRPr="001122DE" w:rsidTr="005A5AA0">
        <w:tc>
          <w:tcPr>
            <w:tcW w:w="6941" w:type="dxa"/>
            <w:shd w:val="clear" w:color="auto" w:fill="FFFFFF" w:themeFill="background1"/>
          </w:tcPr>
          <w:p w:rsidR="001122DE" w:rsidRPr="001122DE" w:rsidRDefault="001122DE" w:rsidP="001122DE">
            <w:pPr>
              <w:spacing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Araş. Gör.</w:t>
            </w:r>
          </w:p>
        </w:tc>
        <w:tc>
          <w:tcPr>
            <w:tcW w:w="2121" w:type="dxa"/>
            <w:shd w:val="clear" w:color="auto" w:fill="FFFFFF" w:themeFill="background1"/>
          </w:tcPr>
          <w:p w:rsidR="001122DE" w:rsidRPr="001122DE" w:rsidRDefault="001B3945" w:rsidP="005214A6">
            <w:pPr>
              <w:spacing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</w:t>
            </w:r>
          </w:p>
        </w:tc>
      </w:tr>
      <w:tr w:rsidR="002A6A5A" w:rsidRPr="001122DE" w:rsidTr="005A5AA0">
        <w:tc>
          <w:tcPr>
            <w:tcW w:w="6941" w:type="dxa"/>
            <w:shd w:val="clear" w:color="auto" w:fill="FFFFFF" w:themeFill="background1"/>
          </w:tcPr>
          <w:p w:rsidR="002A6A5A" w:rsidRPr="001122DE" w:rsidRDefault="002A6A5A" w:rsidP="001122DE">
            <w:pPr>
              <w:spacing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2121" w:type="dxa"/>
            <w:shd w:val="clear" w:color="auto" w:fill="FFFFFF" w:themeFill="background1"/>
          </w:tcPr>
          <w:p w:rsidR="002A6A5A" w:rsidRPr="001122DE" w:rsidRDefault="001B3945" w:rsidP="005214A6">
            <w:pPr>
              <w:spacing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10</w:t>
            </w:r>
          </w:p>
        </w:tc>
      </w:tr>
    </w:tbl>
    <w:p w:rsidR="0005497D" w:rsidRDefault="001122DE" w:rsidP="001122DE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                </w:t>
      </w:r>
    </w:p>
    <w:p w:rsidR="0005497D" w:rsidRDefault="0005497D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>BÖLÜM BAŞKANI</w:t>
      </w: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ab/>
      </w: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ab/>
        <w:t>:</w:t>
      </w:r>
      <w:r w:rsidR="001B394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Prof. Dr. Levent AYTEMİZ</w:t>
      </w:r>
    </w:p>
    <w:p w:rsidR="00DE6CEA" w:rsidRPr="00DE6CEA" w:rsidRDefault="00DE6CEA" w:rsidP="00C87C5E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DE6CEA">
        <w:rPr>
          <w:color w:val="333333"/>
        </w:rPr>
        <w:t>T</w:t>
      </w:r>
      <w:r w:rsidR="001B3945">
        <w:rPr>
          <w:color w:val="333333"/>
        </w:rPr>
        <w:t>elefon : (0266) 606 25 96 – 2596</w:t>
      </w:r>
    </w:p>
    <w:p w:rsidR="00DE6CEA" w:rsidRPr="00DE6CEA" w:rsidRDefault="001B3945" w:rsidP="00C87C5E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color w:val="333333"/>
        </w:rPr>
        <w:t>E – Posta : laytemiz</w:t>
      </w:r>
      <w:r w:rsidR="00DE6CEA" w:rsidRPr="00DE6CEA">
        <w:rPr>
          <w:color w:val="333333"/>
        </w:rPr>
        <w:t>@bandirma.edu.tr</w:t>
      </w:r>
    </w:p>
    <w:p w:rsidR="00DE6CEA" w:rsidRDefault="00DE6CEA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5497D" w:rsidRDefault="0005497D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>BÖLÜM BAŞKAN YRD</w:t>
      </w: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ab/>
        <w:t>:</w:t>
      </w:r>
      <w:r w:rsidR="001B394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Doç. Dr. Burçin Bozdoğanoğlu</w:t>
      </w:r>
    </w:p>
    <w:p w:rsidR="00DE6CEA" w:rsidRPr="00DE6CEA" w:rsidRDefault="00DE6CEA" w:rsidP="00C87C5E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DE6CEA">
        <w:rPr>
          <w:color w:val="333333"/>
        </w:rPr>
        <w:t>T</w:t>
      </w:r>
      <w:r w:rsidR="001B3945">
        <w:rPr>
          <w:color w:val="333333"/>
        </w:rPr>
        <w:t>elefon : (0266) 606 25 95 – 2595</w:t>
      </w:r>
    </w:p>
    <w:p w:rsidR="001B3945" w:rsidRPr="00DE6CEA" w:rsidRDefault="001B3945" w:rsidP="00C87C5E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color w:val="333333"/>
        </w:rPr>
        <w:t>E – Posta : bbozdoganoglu</w:t>
      </w:r>
      <w:r w:rsidR="00DE6CEA" w:rsidRPr="00DE6CEA">
        <w:rPr>
          <w:color w:val="333333"/>
        </w:rPr>
        <w:t>@bandirma.edu.tr</w:t>
      </w:r>
    </w:p>
    <w:p w:rsidR="00DE6CEA" w:rsidRDefault="00DE6CEA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B3945" w:rsidRDefault="001B3945" w:rsidP="001B3945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>BÖLÜM BAŞKAN YRD</w:t>
      </w: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ab/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Doç. Dr. Özgür Biyan</w:t>
      </w:r>
    </w:p>
    <w:p w:rsidR="001B3945" w:rsidRPr="00DE6CEA" w:rsidRDefault="001B3945" w:rsidP="001B3945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DE6CEA">
        <w:rPr>
          <w:color w:val="333333"/>
        </w:rPr>
        <w:t>T</w:t>
      </w:r>
      <w:r>
        <w:rPr>
          <w:color w:val="333333"/>
        </w:rPr>
        <w:t>elefon : (0266) 606 25 22 – 2522</w:t>
      </w:r>
    </w:p>
    <w:p w:rsidR="001B3945" w:rsidRPr="00DE6CEA" w:rsidRDefault="001B3945" w:rsidP="001B3945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color w:val="333333"/>
        </w:rPr>
        <w:t>E – Posta : obiyan</w:t>
      </w:r>
      <w:r w:rsidRPr="00DE6CEA">
        <w:rPr>
          <w:color w:val="333333"/>
        </w:rPr>
        <w:t>@bandirma.edu.tr</w:t>
      </w:r>
    </w:p>
    <w:p w:rsidR="001B3945" w:rsidRDefault="001B3945" w:rsidP="001B3945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E6CEA" w:rsidRDefault="00DE6CEA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E6C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BÖLÜM SEKRETERİ</w:t>
      </w:r>
      <w:r w:rsidR="001B394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  <w:t>: Ayşe ÖZLEM GÜNEŞ</w:t>
      </w:r>
    </w:p>
    <w:p w:rsidR="00DE6CEA" w:rsidRPr="00DE6CEA" w:rsidRDefault="00DE6CEA" w:rsidP="00C87C5E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DE6CEA">
        <w:rPr>
          <w:color w:val="333333"/>
        </w:rPr>
        <w:t>T</w:t>
      </w:r>
      <w:r w:rsidR="001B3945">
        <w:rPr>
          <w:color w:val="333333"/>
        </w:rPr>
        <w:t>elefon : (0266) 717 01 17 – 2574</w:t>
      </w:r>
    </w:p>
    <w:p w:rsidR="00DE6CEA" w:rsidRPr="00DE6CEA" w:rsidRDefault="001B3945" w:rsidP="00C87C5E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color w:val="333333"/>
        </w:rPr>
        <w:t>E – Posta : agunes</w:t>
      </w:r>
      <w:r w:rsidR="00DE6CEA" w:rsidRPr="00DE6CEA">
        <w:rPr>
          <w:color w:val="333333"/>
        </w:rPr>
        <w:t>@bandirma.edu.tr</w:t>
      </w:r>
    </w:p>
    <w:p w:rsidR="00DE6CEA" w:rsidRDefault="00DE6CEA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122DE" w:rsidRPr="001122DE" w:rsidRDefault="001122DE" w:rsidP="001122DE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                                           </w:t>
      </w:r>
    </w:p>
    <w:p w:rsidR="006365AD" w:rsidRPr="001122DE" w:rsidRDefault="001B3945" w:rsidP="00F27994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ANABİLİM DALI: MALİ İKTİSAT</w:t>
      </w:r>
    </w:p>
    <w:p w:rsidR="006365AD" w:rsidRPr="001122DE" w:rsidRDefault="001B3945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Doç</w:t>
      </w:r>
      <w:r w:rsidR="006365AD"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 w:rsidR="006365A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Ahmet Niyazi ÖZKER</w:t>
      </w:r>
      <w:r w:rsidR="005F68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="005202B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(Anabilim Dalı Başkanı)</w:t>
      </w:r>
    </w:p>
    <w:p w:rsidR="00C252C2" w:rsidRPr="001122DE" w:rsidRDefault="005E3AFB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Prof</w:t>
      </w:r>
      <w:r w:rsidR="006365AD"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 w:rsidR="006365A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1B394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Levent AYTEMİZ</w:t>
      </w:r>
    </w:p>
    <w:p w:rsidR="006365AD" w:rsidRPr="0005497D" w:rsidRDefault="006365AD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Arş.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Gör. Seda ÖZVAR</w:t>
      </w:r>
    </w:p>
    <w:p w:rsidR="00D77090" w:rsidRDefault="00D77090" w:rsidP="00D770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1122DE" w:rsidRPr="001122DE" w:rsidRDefault="001122DE" w:rsidP="00F27994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</w:t>
      </w:r>
      <w:r w:rsidR="001B39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NABİLİM DALI: </w:t>
      </w:r>
      <w:r w:rsidR="005A1D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MALİYE TEORİSİ </w:t>
      </w:r>
    </w:p>
    <w:p w:rsidR="005A1DF9" w:rsidRDefault="005A1DF9" w:rsidP="005A1D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Doç. Dr .Burçin BOZDOĞANOĞLU (Anabilim Dalı Başkanı) </w:t>
      </w:r>
    </w:p>
    <w:p w:rsidR="005A1DF9" w:rsidRPr="001122DE" w:rsidRDefault="005A1DF9" w:rsidP="005A1D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Öğr. Üyesi Selçuk Çağrı ESENER</w:t>
      </w:r>
    </w:p>
    <w:p w:rsidR="005A1DF9" w:rsidRPr="001122DE" w:rsidRDefault="005A1DF9" w:rsidP="005A1D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Arş.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Gör. Oğuzhan YELKESEN</w:t>
      </w:r>
    </w:p>
    <w:p w:rsidR="00D77090" w:rsidRDefault="00D77090" w:rsidP="00D770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1122DE" w:rsidRPr="001122DE" w:rsidRDefault="00395C20" w:rsidP="00F27994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ANABİLİM DALI: </w:t>
      </w:r>
      <w:r w:rsidR="005A1D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BÜTÇE VE MALİ PLANLAMA </w:t>
      </w:r>
    </w:p>
    <w:p w:rsidR="005A1DF9" w:rsidRPr="001122DE" w:rsidRDefault="005A1DF9" w:rsidP="005A1D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Doç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Dr. Sevda AKAR (Anabilim Dalı Başkanı)</w:t>
      </w:r>
    </w:p>
    <w:p w:rsidR="00650C44" w:rsidRDefault="005A1DF9" w:rsidP="005A1D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Arş.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Gör. Gülsema ÇETİNKAYA</w:t>
      </w:r>
    </w:p>
    <w:p w:rsidR="00650C44" w:rsidRDefault="00650C44" w:rsidP="005A1D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50C44" w:rsidRPr="001122DE" w:rsidRDefault="00650C44" w:rsidP="00650C44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ANABİLİM DALI: MALİ HUKUK</w:t>
      </w:r>
    </w:p>
    <w:p w:rsidR="005A1DF9" w:rsidRPr="001122DE" w:rsidRDefault="005A1DF9" w:rsidP="005A1D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Doç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Dr. Özgür BİYAN (Anabilim Dalı Başkanı)</w:t>
      </w:r>
    </w:p>
    <w:p w:rsidR="004C0092" w:rsidRDefault="005A1DF9" w:rsidP="005A1D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Doç.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Dr. Harun YENİÇERİ</w:t>
      </w:r>
    </w:p>
    <w:p w:rsidR="00650C44" w:rsidRDefault="00650C44" w:rsidP="005A1D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50C44" w:rsidRDefault="00650C44" w:rsidP="005A1D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A1DF9" w:rsidRDefault="005A1DF9" w:rsidP="005A1D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D0FD9" w:rsidRDefault="001D0FD9" w:rsidP="00650C44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D9" w:rsidRDefault="001D0FD9" w:rsidP="00650C44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941" w:rsidRPr="00650C44" w:rsidRDefault="005A1DF9" w:rsidP="00650C44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III- BİLİMSEL FAALİYETLER</w:t>
      </w:r>
    </w:p>
    <w:p w:rsidR="008F0FF2" w:rsidRPr="001122DE" w:rsidRDefault="0086681D" w:rsidP="00F27994">
      <w:pPr>
        <w:shd w:val="clear" w:color="auto" w:fill="FFE599" w:themeFill="accent4" w:themeFillTint="6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MALİYE</w:t>
      </w:r>
      <w:r w:rsidR="00DB06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BÖLÜMÜ ÖĞRETİM ELEMANLARININ </w:t>
      </w:r>
      <w:r w:rsidR="008F0F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2018 YILI BİLİMSEL FAALİYETLERİ (01/01/2018-31/12/2018)</w:t>
      </w:r>
    </w:p>
    <w:p w:rsidR="008F0FF2" w:rsidRDefault="008F0F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D0FD9" w:rsidRDefault="008F0FF2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Bölümümüz öğretim üye ve elema</w:t>
      </w:r>
      <w:r w:rsidR="004938FE"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nlarınca 2018 yılı içerisinde</w:t>
      </w:r>
      <w:r w:rsidR="001D0F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;</w:t>
      </w:r>
    </w:p>
    <w:p w:rsidR="001D0FD9" w:rsidRDefault="001D0FD9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 T</w:t>
      </w:r>
      <w:r w:rsidR="004938FE"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amamı</w:t>
      </w:r>
      <w:r w:rsidR="008F0FF2"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ul</w:t>
      </w:r>
      <w:r w:rsidR="004938FE"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uslararası olmak üzere toplam 8 makale, </w:t>
      </w:r>
    </w:p>
    <w:p w:rsidR="001D0FD9" w:rsidRDefault="001D0FD9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- </w:t>
      </w:r>
      <w:r w:rsidR="004938FE"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</w:t>
      </w:r>
      <w:r w:rsidR="008F0FF2"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4938FE"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uluslararası  kitap,</w:t>
      </w:r>
      <w:r w:rsidR="008F0FF2"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8F0FF2" w:rsidRPr="004938FE" w:rsidRDefault="001D0FD9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 U</w:t>
      </w:r>
      <w:r w:rsidR="008F0FF2"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lusal kitaplarda </w:t>
      </w:r>
      <w:r w:rsidR="004938FE"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1 ve uluslararası kitaplarda 4 </w:t>
      </w:r>
      <w:r w:rsidR="008F0FF2"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bölüm yaza</w:t>
      </w:r>
      <w:r w:rsidR="004938FE"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rlığı </w:t>
      </w:r>
      <w:r w:rsidR="008F0FF2"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sayısına ulaşılmıştır.</w:t>
      </w:r>
    </w:p>
    <w:p w:rsidR="008F0FF2" w:rsidRPr="004938FE" w:rsidRDefault="008F0FF2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D0FD9" w:rsidRDefault="008F0FF2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2018 yıl</w:t>
      </w:r>
      <w:r w:rsidR="001D0F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 içerisinde;</w:t>
      </w:r>
    </w:p>
    <w:p w:rsidR="00283808" w:rsidRDefault="001D0FD9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 B</w:t>
      </w:r>
      <w:r w:rsidR="008F0FF2"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ölümümüz öğretim elemanların</w:t>
      </w:r>
      <w:r w:rsidR="004938FE"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 çalışmalarına uluslararası 30 ve ulusal 27</w:t>
      </w:r>
      <w:r w:rsidR="00283808" w:rsidRPr="004938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atıf yapılmıştır.</w:t>
      </w:r>
    </w:p>
    <w:p w:rsidR="00283808" w:rsidRDefault="00283808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50C44" w:rsidRDefault="00650C44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50C44" w:rsidRDefault="00650C44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50C44" w:rsidRDefault="00650C44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tbl>
      <w:tblPr>
        <w:tblW w:w="7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710"/>
        <w:gridCol w:w="1746"/>
        <w:gridCol w:w="1692"/>
        <w:gridCol w:w="1746"/>
      </w:tblGrid>
      <w:tr w:rsidR="005A1DF9" w:rsidRPr="005A1DF9" w:rsidTr="00650C44">
        <w:trPr>
          <w:trHeight w:val="299"/>
        </w:trPr>
        <w:tc>
          <w:tcPr>
            <w:tcW w:w="6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1DF9" w:rsidRPr="005A1DF9" w:rsidRDefault="00650C44" w:rsidP="006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2018 MALİYE BÖLÜMÜ BİLİMSEL FAALİYETLERİ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A1DF9" w:rsidRPr="005A1DF9" w:rsidTr="00650C44">
        <w:trPr>
          <w:trHeight w:val="299"/>
        </w:trPr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Yayın ve Faaliyetler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İlgili Md.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  <w:t>2018 (Adet)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Makaleler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A3(a)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A3(b)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A7(a)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A7(b)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A7(c)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A8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A9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C2(a)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C2(b)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C2(d)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C2(e)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B3(a)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B3(b)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B4(a)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B4(b)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B5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B10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 xml:space="preserve">C2(c)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C2(f)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Kitaplar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Kitap Bölümleri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1D0FD9" w:rsidP="001D0FD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Bildiriler ve Kongre Çalışmaları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A11(a)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A11(b)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B6(a)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2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B6(b)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lastRenderedPageBreak/>
              <w:t>Projeler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C4(a)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C4(b)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 xml:space="preserve">C4(c)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C3(a)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C3(b)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 xml:space="preserve">C3(c)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C3(d)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 xml:space="preserve">C3(e)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C3(f)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Atıflar</w:t>
            </w:r>
          </w:p>
        </w:tc>
        <w:tc>
          <w:tcPr>
            <w:tcW w:w="3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A12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5A1DF9" w:rsidRPr="005A1DF9" w:rsidTr="00650C44">
        <w:trPr>
          <w:trHeight w:val="2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B11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</w:tr>
      <w:tr w:rsidR="005A1DF9" w:rsidRPr="005A1DF9" w:rsidTr="00650C44">
        <w:trPr>
          <w:trHeight w:val="299"/>
        </w:trPr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Çeviriler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B8(a)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B8(b)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 xml:space="preserve">B8(c)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B8(d)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Ödüller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C7(a)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A1DF9" w:rsidRPr="005A1DF9" w:rsidTr="00650C44">
        <w:trPr>
          <w:trHeight w:val="299"/>
        </w:trPr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C7(b)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F9" w:rsidRPr="005A1DF9" w:rsidRDefault="005A1DF9" w:rsidP="005A1DF9">
            <w:pPr>
              <w:spacing w:after="0" w:line="240" w:lineRule="auto"/>
              <w:jc w:val="center"/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</w:pPr>
            <w:r w:rsidRPr="005A1DF9">
              <w:rPr>
                <w:rFonts w:ascii="Helvetica Light" w:eastAsia="Times New Roman" w:hAnsi="Helvetica Light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</w:tbl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A1DF9" w:rsidRPr="001D0FD9" w:rsidRDefault="005A1DF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5A1DF9" w:rsidRPr="001D0FD9" w:rsidRDefault="005A1DF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1D0F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IV- EĞİTİM – ÖĞRETİM FAALİYETLERİ</w:t>
      </w:r>
    </w:p>
    <w:p w:rsidR="00B45266" w:rsidRDefault="00B45266" w:rsidP="00F27994">
      <w:pPr>
        <w:shd w:val="clear" w:color="auto" w:fill="FFE599" w:themeFill="accent4" w:themeFillTint="6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715A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BANDIRMA ONYEDİ EYLÜL</w:t>
      </w:r>
      <w:r w:rsidR="0086681D" w:rsidRPr="00715A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ÜNİVERSİTESİ BÜNYESİNDE MALİYE</w:t>
      </w:r>
      <w:r w:rsidRPr="00715A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BÖLÜMÜ KONTENJANLARI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822"/>
        <w:gridCol w:w="4135"/>
        <w:gridCol w:w="4110"/>
      </w:tblGrid>
      <w:tr w:rsidR="00B45266" w:rsidTr="00C87C5E">
        <w:tc>
          <w:tcPr>
            <w:tcW w:w="822" w:type="dxa"/>
            <w:shd w:val="clear" w:color="auto" w:fill="DEEAF6" w:themeFill="accent1" w:themeFillTint="33"/>
          </w:tcPr>
          <w:p w:rsidR="00B45266" w:rsidRPr="00B45266" w:rsidRDefault="00B45266" w:rsidP="00B4526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135" w:type="dxa"/>
            <w:shd w:val="clear" w:color="auto" w:fill="DEEAF6" w:themeFill="accent1" w:themeFillTint="33"/>
          </w:tcPr>
          <w:p w:rsidR="00B45266" w:rsidRPr="00B45266" w:rsidRDefault="00B45266" w:rsidP="00B4526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</w:pPr>
            <w:r w:rsidRPr="00B45266"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  <w:t>I.Öğretim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:rsidR="00B45266" w:rsidRPr="00B45266" w:rsidRDefault="00B45266" w:rsidP="00B4526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</w:pPr>
            <w:r w:rsidRPr="00B45266"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  <w:t>II.Öğretim</w:t>
            </w:r>
          </w:p>
        </w:tc>
      </w:tr>
      <w:tr w:rsidR="00B45266" w:rsidTr="00C87C5E">
        <w:tc>
          <w:tcPr>
            <w:tcW w:w="822" w:type="dxa"/>
            <w:shd w:val="clear" w:color="auto" w:fill="DEEAF6" w:themeFill="accent1" w:themeFillTint="33"/>
          </w:tcPr>
          <w:p w:rsidR="00B45266" w:rsidRPr="000E6F61" w:rsidRDefault="00B45266" w:rsidP="00B4526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0E6F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4135" w:type="dxa"/>
            <w:shd w:val="clear" w:color="auto" w:fill="FFFFFF" w:themeFill="background1"/>
          </w:tcPr>
          <w:p w:rsidR="00B45266" w:rsidRPr="00B01860" w:rsidRDefault="00715A0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103</w:t>
            </w:r>
          </w:p>
        </w:tc>
        <w:tc>
          <w:tcPr>
            <w:tcW w:w="4110" w:type="dxa"/>
            <w:shd w:val="clear" w:color="auto" w:fill="FFFFFF" w:themeFill="background1"/>
          </w:tcPr>
          <w:p w:rsidR="00B45266" w:rsidRPr="00B01860" w:rsidRDefault="00715A0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103</w:t>
            </w:r>
            <w:r w:rsidR="00B45266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</w:t>
            </w:r>
          </w:p>
        </w:tc>
      </w:tr>
      <w:tr w:rsidR="00B45266" w:rsidTr="00C87C5E">
        <w:tc>
          <w:tcPr>
            <w:tcW w:w="822" w:type="dxa"/>
            <w:shd w:val="clear" w:color="auto" w:fill="DEEAF6" w:themeFill="accent1" w:themeFillTint="33"/>
          </w:tcPr>
          <w:p w:rsidR="00B45266" w:rsidRPr="000E6F61" w:rsidRDefault="00B45266" w:rsidP="00B4526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0E6F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4135" w:type="dxa"/>
            <w:shd w:val="clear" w:color="auto" w:fill="FFFFFF" w:themeFill="background1"/>
          </w:tcPr>
          <w:p w:rsidR="00B45266" w:rsidRPr="00B01860" w:rsidRDefault="00715A0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103</w:t>
            </w:r>
          </w:p>
        </w:tc>
        <w:tc>
          <w:tcPr>
            <w:tcW w:w="4110" w:type="dxa"/>
            <w:shd w:val="clear" w:color="auto" w:fill="FFFFFF" w:themeFill="background1"/>
          </w:tcPr>
          <w:p w:rsidR="00B45266" w:rsidRPr="00B01860" w:rsidRDefault="00715A0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103</w:t>
            </w:r>
            <w:r w:rsidR="00B45266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</w:t>
            </w:r>
          </w:p>
        </w:tc>
      </w:tr>
      <w:tr w:rsidR="00B45266" w:rsidTr="00C87C5E">
        <w:tc>
          <w:tcPr>
            <w:tcW w:w="822" w:type="dxa"/>
            <w:shd w:val="clear" w:color="auto" w:fill="DEEAF6" w:themeFill="accent1" w:themeFillTint="33"/>
          </w:tcPr>
          <w:p w:rsidR="00B45266" w:rsidRPr="000E6F61" w:rsidRDefault="00B45266" w:rsidP="00B4526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0E6F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4135" w:type="dxa"/>
            <w:shd w:val="clear" w:color="auto" w:fill="FFFFFF" w:themeFill="background1"/>
          </w:tcPr>
          <w:p w:rsidR="00B45266" w:rsidRPr="00B01860" w:rsidRDefault="00715A0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103</w:t>
            </w:r>
          </w:p>
        </w:tc>
        <w:tc>
          <w:tcPr>
            <w:tcW w:w="4110" w:type="dxa"/>
            <w:shd w:val="clear" w:color="auto" w:fill="FFFFFF" w:themeFill="background1"/>
          </w:tcPr>
          <w:p w:rsidR="00B45266" w:rsidRPr="00B01860" w:rsidRDefault="00715A0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103</w:t>
            </w:r>
            <w:r w:rsidR="00B45266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</w:t>
            </w:r>
          </w:p>
        </w:tc>
      </w:tr>
      <w:tr w:rsidR="00B45266" w:rsidTr="00C87C5E">
        <w:tc>
          <w:tcPr>
            <w:tcW w:w="822" w:type="dxa"/>
            <w:shd w:val="clear" w:color="auto" w:fill="DEEAF6" w:themeFill="accent1" w:themeFillTint="33"/>
          </w:tcPr>
          <w:p w:rsidR="00B45266" w:rsidRPr="000E6F61" w:rsidRDefault="00B45266" w:rsidP="00B4526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0E6F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4135" w:type="dxa"/>
            <w:shd w:val="clear" w:color="auto" w:fill="FFFFFF" w:themeFill="background1"/>
          </w:tcPr>
          <w:p w:rsidR="00B45266" w:rsidRPr="00B01860" w:rsidRDefault="00715A0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103</w:t>
            </w:r>
          </w:p>
        </w:tc>
        <w:tc>
          <w:tcPr>
            <w:tcW w:w="4110" w:type="dxa"/>
            <w:shd w:val="clear" w:color="auto" w:fill="FFFFFF" w:themeFill="background1"/>
          </w:tcPr>
          <w:p w:rsidR="00B45266" w:rsidRPr="00B01860" w:rsidRDefault="00715A0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1003</w:t>
            </w:r>
          </w:p>
        </w:tc>
      </w:tr>
      <w:tr w:rsidR="00B45266" w:rsidTr="00C87C5E">
        <w:tc>
          <w:tcPr>
            <w:tcW w:w="822" w:type="dxa"/>
            <w:shd w:val="clear" w:color="auto" w:fill="DEEAF6" w:themeFill="accent1" w:themeFillTint="33"/>
          </w:tcPr>
          <w:p w:rsidR="00B45266" w:rsidRPr="000E6F61" w:rsidRDefault="00B45266" w:rsidP="00B4526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0E6F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4135" w:type="dxa"/>
            <w:shd w:val="clear" w:color="auto" w:fill="FFFFFF" w:themeFill="background1"/>
          </w:tcPr>
          <w:p w:rsidR="00B45266" w:rsidRPr="00B01860" w:rsidRDefault="00715A0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9</w:t>
            </w:r>
            <w:r w:rsidR="00B45266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0*</w:t>
            </w:r>
          </w:p>
        </w:tc>
        <w:tc>
          <w:tcPr>
            <w:tcW w:w="4110" w:type="dxa"/>
            <w:shd w:val="clear" w:color="auto" w:fill="FFFFFF" w:themeFill="background1"/>
          </w:tcPr>
          <w:p w:rsidR="00B45266" w:rsidRDefault="00B4526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İkinci öğretime öğrenci alımı durduruldu</w:t>
            </w:r>
          </w:p>
        </w:tc>
      </w:tr>
    </w:tbl>
    <w:p w:rsidR="000E6F61" w:rsidRPr="00D476EF" w:rsidRDefault="000E6F61" w:rsidP="00D4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*ÖSYM’ye önerilen kontenjan</w:t>
      </w:r>
    </w:p>
    <w:p w:rsidR="000E6F61" w:rsidRDefault="000E6F61" w:rsidP="00186ED5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824BAC" w:rsidRPr="001122DE" w:rsidRDefault="0086681D" w:rsidP="00F27994">
      <w:pPr>
        <w:shd w:val="clear" w:color="auto" w:fill="FFE599" w:themeFill="accent4" w:themeFillTint="6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715A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MALİYE</w:t>
      </w:r>
      <w:r w:rsidR="00186ED5" w:rsidRPr="00715A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BÖLÜMÜ ÖĞRENCİ SAYILARI</w:t>
      </w:r>
      <w:r w:rsidR="00981019" w:rsidRPr="00715A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46"/>
        <w:gridCol w:w="1020"/>
        <w:gridCol w:w="2213"/>
        <w:gridCol w:w="2213"/>
        <w:gridCol w:w="2213"/>
      </w:tblGrid>
      <w:tr w:rsidR="0086681D" w:rsidRPr="001122DE" w:rsidTr="0086681D">
        <w:trPr>
          <w:trHeight w:val="305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KIZ ÖĞRENCİ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ERKEK ÖĞRENCİ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86681D" w:rsidRPr="001122DE" w:rsidTr="0086681D">
        <w:trPr>
          <w:trHeight w:val="291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SINIF</w:t>
            </w: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</w:t>
            </w:r>
          </w:p>
        </w:tc>
      </w:tr>
      <w:tr w:rsidR="0086681D" w:rsidRPr="001122DE" w:rsidTr="0086681D">
        <w:trPr>
          <w:trHeight w:val="30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</w:tcPr>
          <w:p w:rsidR="0086681D" w:rsidRPr="00083A6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083A6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İ.Ö.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083A6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083A6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083A6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</w:tr>
      <w:tr w:rsidR="0086681D" w:rsidRPr="001122DE" w:rsidTr="0086681D">
        <w:trPr>
          <w:trHeight w:val="291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SINIF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114</w:t>
            </w:r>
          </w:p>
        </w:tc>
      </w:tr>
      <w:tr w:rsidR="0086681D" w:rsidRPr="001122DE" w:rsidTr="0086681D">
        <w:trPr>
          <w:trHeight w:val="30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İ.Ö.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71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</w:tr>
      <w:tr w:rsidR="0086681D" w:rsidRPr="001122DE" w:rsidTr="0086681D">
        <w:trPr>
          <w:trHeight w:val="291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SINIF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108</w:t>
            </w:r>
          </w:p>
        </w:tc>
      </w:tr>
      <w:tr w:rsidR="0086681D" w:rsidRPr="001122DE" w:rsidTr="0086681D">
        <w:trPr>
          <w:trHeight w:val="30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İ.Ö.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97</w:t>
            </w:r>
          </w:p>
        </w:tc>
      </w:tr>
      <w:tr w:rsidR="0086681D" w:rsidRPr="001122DE" w:rsidTr="0086681D">
        <w:trPr>
          <w:trHeight w:val="291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 SINIF</w:t>
            </w: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183</w:t>
            </w:r>
          </w:p>
        </w:tc>
      </w:tr>
      <w:tr w:rsidR="0086681D" w:rsidRPr="001122DE" w:rsidTr="0086681D">
        <w:trPr>
          <w:trHeight w:val="30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1122DE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İ.Ö.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1122DE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217</w:t>
            </w:r>
          </w:p>
        </w:tc>
      </w:tr>
      <w:tr w:rsidR="0086681D" w:rsidRPr="001122DE" w:rsidTr="0086681D">
        <w:trPr>
          <w:trHeight w:val="291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D77090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86681D" w:rsidRPr="00D77090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D77090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77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D77090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256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D77090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244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D77090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500</w:t>
            </w:r>
          </w:p>
        </w:tc>
      </w:tr>
      <w:tr w:rsidR="0086681D" w:rsidRPr="001122DE" w:rsidTr="0086681D">
        <w:trPr>
          <w:trHeight w:val="30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86681D" w:rsidRPr="00D77090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86681D" w:rsidRPr="00D77090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6681D" w:rsidRPr="00D77090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77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İ.Ö.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D77090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D77090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81D" w:rsidRPr="00D77090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443</w:t>
            </w:r>
          </w:p>
        </w:tc>
      </w:tr>
      <w:tr w:rsidR="0086681D" w:rsidRPr="001122DE" w:rsidTr="0086681D">
        <w:trPr>
          <w:trHeight w:val="30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81D" w:rsidRPr="00D77090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681D" w:rsidRPr="00D77090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86681D" w:rsidRPr="00D77090" w:rsidRDefault="0086681D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86681D" w:rsidRPr="00D77090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471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86681D" w:rsidRPr="00D77090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472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86681D" w:rsidRPr="00D77090" w:rsidRDefault="00715A0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943</w:t>
            </w:r>
          </w:p>
        </w:tc>
      </w:tr>
    </w:tbl>
    <w:p w:rsidR="00380957" w:rsidRDefault="00380957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E2A65" w:rsidRPr="00715A06" w:rsidRDefault="003E2A65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715A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SOSYAL BİLİMLER ENSTİTÜSÜ</w:t>
      </w:r>
    </w:p>
    <w:p w:rsidR="00BB337F" w:rsidRPr="003E2A65" w:rsidRDefault="0086681D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715A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MALİYE</w:t>
      </w:r>
      <w:r w:rsidR="00380957" w:rsidRPr="00715A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ANABİLİM DALI</w:t>
      </w:r>
      <w:r w:rsidR="00BB337F" w:rsidRPr="00715A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380957" w:rsidRPr="00715A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ÖĞRENCİ SAYILARI</w:t>
      </w:r>
      <w:r w:rsidR="001D0FD9" w:rsidRPr="00715A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380957" w:rsidTr="00C87C5E">
        <w:tc>
          <w:tcPr>
            <w:tcW w:w="7366" w:type="dxa"/>
            <w:shd w:val="clear" w:color="auto" w:fill="DEEAF6" w:themeFill="accent1" w:themeFillTint="33"/>
          </w:tcPr>
          <w:p w:rsidR="00380957" w:rsidRPr="009D718E" w:rsidRDefault="00715A06" w:rsidP="001122D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1696" w:type="dxa"/>
            <w:shd w:val="clear" w:color="auto" w:fill="FFFFFF" w:themeFill="background1"/>
          </w:tcPr>
          <w:p w:rsidR="00380957" w:rsidRDefault="00715A06" w:rsidP="00671AB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43</w:t>
            </w:r>
          </w:p>
        </w:tc>
      </w:tr>
    </w:tbl>
    <w:p w:rsidR="009911C0" w:rsidRDefault="009911C0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476EF" w:rsidRDefault="00D476EF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E76D3" w:rsidRPr="003E2A65" w:rsidRDefault="0086681D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715A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MALİYE</w:t>
      </w:r>
      <w:r w:rsidR="004E76D3" w:rsidRPr="00715A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BÖLÜMÜ KADROLU ÖĞRETİM ÜYESİ BAŞINA DÜŞEN ÖĞRENCİ SAYISI 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0"/>
        <w:gridCol w:w="3976"/>
        <w:gridCol w:w="1696"/>
      </w:tblGrid>
      <w:tr w:rsidR="004E76D3" w:rsidTr="004E76D3">
        <w:tc>
          <w:tcPr>
            <w:tcW w:w="3390" w:type="dxa"/>
            <w:shd w:val="clear" w:color="auto" w:fill="DEEAF6" w:themeFill="accent1" w:themeFillTint="33"/>
          </w:tcPr>
          <w:p w:rsidR="004E76D3" w:rsidRPr="009D718E" w:rsidRDefault="004E76D3" w:rsidP="00763E1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ÖĞRENCİ SAYISI (1)</w:t>
            </w:r>
          </w:p>
        </w:tc>
        <w:tc>
          <w:tcPr>
            <w:tcW w:w="3976" w:type="dxa"/>
            <w:shd w:val="clear" w:color="auto" w:fill="DEEAF6" w:themeFill="accent1" w:themeFillTint="33"/>
          </w:tcPr>
          <w:p w:rsidR="004E76D3" w:rsidRPr="009D718E" w:rsidRDefault="004E76D3" w:rsidP="00763E1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ÖĞRETİM ÜYESİ SAYISI (2)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:rsidR="004E76D3" w:rsidRPr="004E76D3" w:rsidRDefault="004E76D3" w:rsidP="00763E1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4E7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SAYI (1/2)</w:t>
            </w:r>
          </w:p>
        </w:tc>
      </w:tr>
      <w:tr w:rsidR="004E76D3" w:rsidTr="004E76D3">
        <w:tc>
          <w:tcPr>
            <w:tcW w:w="3390" w:type="dxa"/>
            <w:shd w:val="clear" w:color="auto" w:fill="FFFFFF" w:themeFill="background1"/>
          </w:tcPr>
          <w:p w:rsidR="004E76D3" w:rsidRPr="009D718E" w:rsidRDefault="00715A06" w:rsidP="004E76D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943</w:t>
            </w:r>
          </w:p>
        </w:tc>
        <w:tc>
          <w:tcPr>
            <w:tcW w:w="3976" w:type="dxa"/>
            <w:shd w:val="clear" w:color="auto" w:fill="FFFFFF" w:themeFill="background1"/>
          </w:tcPr>
          <w:p w:rsidR="004E76D3" w:rsidRPr="009D718E" w:rsidRDefault="00715A06" w:rsidP="004E76D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696" w:type="dxa"/>
            <w:shd w:val="clear" w:color="auto" w:fill="FFFFFF" w:themeFill="background1"/>
          </w:tcPr>
          <w:p w:rsidR="004E76D3" w:rsidRPr="004E76D3" w:rsidRDefault="00715A06" w:rsidP="004E76D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134,7</w:t>
            </w:r>
          </w:p>
        </w:tc>
      </w:tr>
    </w:tbl>
    <w:p w:rsidR="00F27994" w:rsidRDefault="00F27994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A05080" w:rsidRDefault="00A05080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tbl>
      <w:tblPr>
        <w:tblW w:w="920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1871"/>
        <w:gridCol w:w="2410"/>
      </w:tblGrid>
      <w:tr w:rsidR="00935805" w:rsidRPr="00935805" w:rsidTr="009718C5">
        <w:trPr>
          <w:trHeight w:val="602"/>
          <w:tblHeader/>
        </w:trPr>
        <w:tc>
          <w:tcPr>
            <w:tcW w:w="9206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AC2CAB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1E7B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YATAY GEÇİŞ İLE </w:t>
            </w:r>
            <w:r w:rsidRPr="001E7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GELEN ÖĞRENCİ</w:t>
            </w:r>
          </w:p>
        </w:tc>
      </w:tr>
      <w:tr w:rsidR="00891400" w:rsidRPr="00935805" w:rsidTr="008501D1">
        <w:trPr>
          <w:tblHeader/>
        </w:trPr>
        <w:tc>
          <w:tcPr>
            <w:tcW w:w="4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Geçiş Türü</w:t>
            </w:r>
          </w:p>
        </w:tc>
        <w:tc>
          <w:tcPr>
            <w:tcW w:w="1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2018</w:t>
            </w:r>
          </w:p>
        </w:tc>
      </w:tr>
      <w:tr w:rsidR="00891400" w:rsidRPr="00935805" w:rsidTr="00891400">
        <w:tc>
          <w:tcPr>
            <w:tcW w:w="4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935805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Türkiye'deki başka bir üniversiteden gelen</w:t>
            </w:r>
          </w:p>
        </w:tc>
        <w:tc>
          <w:tcPr>
            <w:tcW w:w="1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86681D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10" w:type="dxa"/>
            <w:tcBorders>
              <w:left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1E7BE9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</w:t>
            </w:r>
          </w:p>
        </w:tc>
      </w:tr>
    </w:tbl>
    <w:p w:rsidR="00935805" w:rsidRPr="00935805" w:rsidRDefault="00935805" w:rsidP="0097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1871"/>
        <w:gridCol w:w="2410"/>
      </w:tblGrid>
      <w:tr w:rsidR="00935805" w:rsidRPr="00935805" w:rsidTr="008501D1">
        <w:trPr>
          <w:tblHeader/>
        </w:trPr>
        <w:tc>
          <w:tcPr>
            <w:tcW w:w="9206" w:type="dxa"/>
            <w:gridSpan w:val="3"/>
            <w:tcBorders>
              <w:bottom w:val="single" w:sz="6" w:space="0" w:color="000000" w:themeColor="text1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86681D" w:rsidRDefault="00AC2CAB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tr-TR"/>
              </w:rPr>
            </w:pPr>
            <w:r w:rsidRPr="001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YATAY GEÇİŞ İLE GİDEN ÖĞRENCİ</w:t>
            </w:r>
          </w:p>
        </w:tc>
      </w:tr>
      <w:tr w:rsidR="00021FE1" w:rsidRPr="00935805" w:rsidTr="008501D1">
        <w:trPr>
          <w:tblHeader/>
        </w:trPr>
        <w:tc>
          <w:tcPr>
            <w:tcW w:w="49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Geçiş Türü</w:t>
            </w:r>
          </w:p>
        </w:tc>
        <w:tc>
          <w:tcPr>
            <w:tcW w:w="1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2018</w:t>
            </w:r>
          </w:p>
        </w:tc>
      </w:tr>
      <w:tr w:rsidR="00021FE1" w:rsidRPr="00935805" w:rsidTr="00021FE1">
        <w:tc>
          <w:tcPr>
            <w:tcW w:w="49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935805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 bir üniversiteye giden</w:t>
            </w:r>
          </w:p>
        </w:tc>
        <w:tc>
          <w:tcPr>
            <w:tcW w:w="1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1E7BE9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1E7BE9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</w:t>
            </w:r>
          </w:p>
        </w:tc>
      </w:tr>
      <w:tr w:rsidR="00021FE1" w:rsidRPr="00935805" w:rsidTr="00021FE1">
        <w:tc>
          <w:tcPr>
            <w:tcW w:w="49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935805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içinde başka bir programa giden</w:t>
            </w:r>
          </w:p>
        </w:tc>
        <w:tc>
          <w:tcPr>
            <w:tcW w:w="1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1E7BE9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86681D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</w:t>
            </w:r>
          </w:p>
        </w:tc>
      </w:tr>
    </w:tbl>
    <w:p w:rsidR="00935805" w:rsidRPr="00935805" w:rsidRDefault="00935805" w:rsidP="0097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tbl>
      <w:tblPr>
        <w:tblW w:w="920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1841"/>
        <w:gridCol w:w="2410"/>
      </w:tblGrid>
      <w:tr w:rsidR="00021FE1" w:rsidRPr="00935805" w:rsidTr="008501D1">
        <w:trPr>
          <w:tblHeader/>
        </w:trPr>
        <w:tc>
          <w:tcPr>
            <w:tcW w:w="2691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Değişim Programı</w:t>
            </w:r>
            <w:r w:rsidR="00021FE1" w:rsidRPr="001D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(2018)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Giden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Gelen</w:t>
            </w:r>
          </w:p>
        </w:tc>
      </w:tr>
      <w:tr w:rsidR="00021FE1" w:rsidRPr="00935805" w:rsidTr="008501D1">
        <w:tc>
          <w:tcPr>
            <w:tcW w:w="2691" w:type="pct"/>
            <w:tcBorders>
              <w:top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650C44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Mevlana</w:t>
            </w:r>
          </w:p>
        </w:tc>
        <w:tc>
          <w:tcPr>
            <w:tcW w:w="1000" w:type="pct"/>
            <w:tcBorders>
              <w:top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09" w:type="pct"/>
            <w:tcBorders>
              <w:top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650C44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</w:t>
            </w:r>
          </w:p>
        </w:tc>
      </w:tr>
    </w:tbl>
    <w:p w:rsidR="00935805" w:rsidRPr="00935805" w:rsidRDefault="00935805" w:rsidP="00935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1E1DC2" w:rsidRDefault="0086681D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E7F3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MALİYE</w:t>
      </w:r>
      <w:r w:rsidR="001E1DC2" w:rsidRPr="000E7F3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BÖLÜMÜ 2018 YÖK ATLAS </w:t>
      </w:r>
      <w:r w:rsidR="00FE50FF" w:rsidRPr="000E7F3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LİNKİ</w:t>
      </w: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1E1DC2" w:rsidRPr="000E7F3E" w:rsidRDefault="0061165E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hyperlink r:id="rId8" w:history="1">
        <w:r w:rsidR="0086681D" w:rsidRPr="000E7F3E">
          <w:rPr>
            <w:rStyle w:val="Kpr"/>
            <w:rFonts w:ascii="Times New Roman" w:hAnsi="Times New Roman" w:cs="Times New Roman"/>
            <w:sz w:val="24"/>
            <w:szCs w:val="24"/>
          </w:rPr>
          <w:t>https://yokatlas.yok.gov.tr/lisans.php?y=110610062</w:t>
        </w:r>
      </w:hyperlink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1E1DC2" w:rsidRDefault="0086681D" w:rsidP="001E1D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E7F3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MALİYE</w:t>
      </w:r>
      <w:r w:rsidR="001E1DC2" w:rsidRPr="000E7F3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BÖLÜMÜ (İÖ) 2018 YÖK ATLAS </w:t>
      </w:r>
      <w:r w:rsidR="00FE50FF" w:rsidRPr="000E7F3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LİNKİ</w:t>
      </w:r>
    </w:p>
    <w:p w:rsidR="001E1DC2" w:rsidRDefault="001E1DC2" w:rsidP="001E1D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61165E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hyperlink r:id="rId9" w:history="1">
        <w:r w:rsidR="000E7F3E" w:rsidRPr="000E7F3E">
          <w:rPr>
            <w:rStyle w:val="Kpr"/>
            <w:rFonts w:ascii="Times New Roman" w:hAnsi="Times New Roman" w:cs="Times New Roman"/>
            <w:sz w:val="24"/>
            <w:szCs w:val="24"/>
          </w:rPr>
          <w:t>https://yokatlas.yok.gov.tr/lisans.php?y=110630039</w:t>
        </w:r>
      </w:hyperlink>
      <w:r w:rsidR="000E7F3E" w:rsidRPr="000E7F3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718C5" w:rsidRDefault="009718C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718C5" w:rsidRDefault="009718C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718C5" w:rsidRDefault="009718C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718C5" w:rsidRDefault="009718C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1E1DC2" w:rsidRDefault="001E1DC2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822FC4" w:rsidRDefault="00822FC4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822FC4" w:rsidRDefault="00822FC4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96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35805" w:rsidRPr="00893F4A" w:rsidRDefault="00935805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sectPr w:rsidR="00935805" w:rsidRPr="0089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5E" w:rsidRDefault="0061165E" w:rsidP="00F84FD6">
      <w:pPr>
        <w:spacing w:after="0" w:line="240" w:lineRule="auto"/>
      </w:pPr>
      <w:r>
        <w:separator/>
      </w:r>
    </w:p>
  </w:endnote>
  <w:endnote w:type="continuationSeparator" w:id="0">
    <w:p w:rsidR="0061165E" w:rsidRDefault="0061165E" w:rsidP="00F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5E" w:rsidRDefault="0061165E" w:rsidP="00F84FD6">
      <w:pPr>
        <w:spacing w:after="0" w:line="240" w:lineRule="auto"/>
      </w:pPr>
      <w:r>
        <w:separator/>
      </w:r>
    </w:p>
  </w:footnote>
  <w:footnote w:type="continuationSeparator" w:id="0">
    <w:p w:rsidR="0061165E" w:rsidRDefault="0061165E" w:rsidP="00F8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2B7"/>
    <w:multiLevelType w:val="hybridMultilevel"/>
    <w:tmpl w:val="94DEB290"/>
    <w:lvl w:ilvl="0" w:tplc="9EFCC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22BC"/>
    <w:multiLevelType w:val="hybridMultilevel"/>
    <w:tmpl w:val="88BE84C6"/>
    <w:lvl w:ilvl="0" w:tplc="35C400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55322"/>
    <w:multiLevelType w:val="hybridMultilevel"/>
    <w:tmpl w:val="1EAC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5F46"/>
    <w:multiLevelType w:val="hybridMultilevel"/>
    <w:tmpl w:val="A5620F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F5545B"/>
    <w:multiLevelType w:val="hybridMultilevel"/>
    <w:tmpl w:val="69B26902"/>
    <w:lvl w:ilvl="0" w:tplc="77E05A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35AC"/>
    <w:multiLevelType w:val="hybridMultilevel"/>
    <w:tmpl w:val="1AD477B0"/>
    <w:lvl w:ilvl="0" w:tplc="35C40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002B9"/>
    <w:multiLevelType w:val="hybridMultilevel"/>
    <w:tmpl w:val="40927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840C0"/>
    <w:multiLevelType w:val="hybridMultilevel"/>
    <w:tmpl w:val="B156D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D3CD5"/>
    <w:multiLevelType w:val="hybridMultilevel"/>
    <w:tmpl w:val="E4066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D5B70"/>
    <w:multiLevelType w:val="hybridMultilevel"/>
    <w:tmpl w:val="256849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1B4C91"/>
    <w:multiLevelType w:val="hybridMultilevel"/>
    <w:tmpl w:val="3C2E3F4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6E6E7A"/>
    <w:multiLevelType w:val="hybridMultilevel"/>
    <w:tmpl w:val="2688B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83"/>
    <w:rsid w:val="00005CF1"/>
    <w:rsid w:val="00011A68"/>
    <w:rsid w:val="00011EDC"/>
    <w:rsid w:val="00021FE1"/>
    <w:rsid w:val="00032421"/>
    <w:rsid w:val="00045B32"/>
    <w:rsid w:val="0005497D"/>
    <w:rsid w:val="000610B7"/>
    <w:rsid w:val="000615C9"/>
    <w:rsid w:val="00064E1C"/>
    <w:rsid w:val="00065124"/>
    <w:rsid w:val="00065E32"/>
    <w:rsid w:val="00070AAF"/>
    <w:rsid w:val="00083A6E"/>
    <w:rsid w:val="000A1568"/>
    <w:rsid w:val="000B0C8E"/>
    <w:rsid w:val="000B7E9C"/>
    <w:rsid w:val="000D13BC"/>
    <w:rsid w:val="000E6F61"/>
    <w:rsid w:val="000E7F3E"/>
    <w:rsid w:val="000F4D8D"/>
    <w:rsid w:val="001071AD"/>
    <w:rsid w:val="001122DE"/>
    <w:rsid w:val="00117592"/>
    <w:rsid w:val="0014255A"/>
    <w:rsid w:val="00144E29"/>
    <w:rsid w:val="00157CC8"/>
    <w:rsid w:val="00170861"/>
    <w:rsid w:val="00170B2E"/>
    <w:rsid w:val="00172B43"/>
    <w:rsid w:val="0017541A"/>
    <w:rsid w:val="00186ED5"/>
    <w:rsid w:val="001903B4"/>
    <w:rsid w:val="00194641"/>
    <w:rsid w:val="001B3945"/>
    <w:rsid w:val="001B530A"/>
    <w:rsid w:val="001B5355"/>
    <w:rsid w:val="001B7E89"/>
    <w:rsid w:val="001C2341"/>
    <w:rsid w:val="001D0FD9"/>
    <w:rsid w:val="001D6E8C"/>
    <w:rsid w:val="001E04D6"/>
    <w:rsid w:val="001E1DC2"/>
    <w:rsid w:val="001E1E9B"/>
    <w:rsid w:val="001E5767"/>
    <w:rsid w:val="001E7BE9"/>
    <w:rsid w:val="001F30FB"/>
    <w:rsid w:val="002014D7"/>
    <w:rsid w:val="00203C70"/>
    <w:rsid w:val="00215F24"/>
    <w:rsid w:val="002276BB"/>
    <w:rsid w:val="002454B9"/>
    <w:rsid w:val="002648F5"/>
    <w:rsid w:val="00265B73"/>
    <w:rsid w:val="0026645D"/>
    <w:rsid w:val="0026745D"/>
    <w:rsid w:val="00272B0B"/>
    <w:rsid w:val="0027426F"/>
    <w:rsid w:val="002801B8"/>
    <w:rsid w:val="00283620"/>
    <w:rsid w:val="00283808"/>
    <w:rsid w:val="002A5DB3"/>
    <w:rsid w:val="002A6A5A"/>
    <w:rsid w:val="002A7CE7"/>
    <w:rsid w:val="002B6852"/>
    <w:rsid w:val="002C595E"/>
    <w:rsid w:val="002D0415"/>
    <w:rsid w:val="002D1A27"/>
    <w:rsid w:val="002D4F1F"/>
    <w:rsid w:val="002F2132"/>
    <w:rsid w:val="00314E95"/>
    <w:rsid w:val="00316A6F"/>
    <w:rsid w:val="0032716F"/>
    <w:rsid w:val="00343449"/>
    <w:rsid w:val="003438CB"/>
    <w:rsid w:val="00361CF8"/>
    <w:rsid w:val="00364CB3"/>
    <w:rsid w:val="003711E9"/>
    <w:rsid w:val="00377A9A"/>
    <w:rsid w:val="00380072"/>
    <w:rsid w:val="00380957"/>
    <w:rsid w:val="003817C6"/>
    <w:rsid w:val="00395C20"/>
    <w:rsid w:val="003A0307"/>
    <w:rsid w:val="003B26AC"/>
    <w:rsid w:val="003B578D"/>
    <w:rsid w:val="003B6F65"/>
    <w:rsid w:val="003B734E"/>
    <w:rsid w:val="003C1E84"/>
    <w:rsid w:val="003E05AE"/>
    <w:rsid w:val="003E2A65"/>
    <w:rsid w:val="00400401"/>
    <w:rsid w:val="0043140E"/>
    <w:rsid w:val="004325A0"/>
    <w:rsid w:val="00444D3B"/>
    <w:rsid w:val="00447060"/>
    <w:rsid w:val="0044773F"/>
    <w:rsid w:val="00463031"/>
    <w:rsid w:val="00467B49"/>
    <w:rsid w:val="00481A99"/>
    <w:rsid w:val="004938FE"/>
    <w:rsid w:val="0049573D"/>
    <w:rsid w:val="004A6D8E"/>
    <w:rsid w:val="004C0092"/>
    <w:rsid w:val="004C2302"/>
    <w:rsid w:val="004D3229"/>
    <w:rsid w:val="004E5F61"/>
    <w:rsid w:val="004E76D3"/>
    <w:rsid w:val="004F44CB"/>
    <w:rsid w:val="004F473F"/>
    <w:rsid w:val="00500FD5"/>
    <w:rsid w:val="00507BA8"/>
    <w:rsid w:val="005129AA"/>
    <w:rsid w:val="00513817"/>
    <w:rsid w:val="005202B5"/>
    <w:rsid w:val="005214A6"/>
    <w:rsid w:val="00542564"/>
    <w:rsid w:val="005468E5"/>
    <w:rsid w:val="00546DB4"/>
    <w:rsid w:val="0055632E"/>
    <w:rsid w:val="00576255"/>
    <w:rsid w:val="005860D6"/>
    <w:rsid w:val="00592E41"/>
    <w:rsid w:val="005A1DF9"/>
    <w:rsid w:val="005A55A2"/>
    <w:rsid w:val="005A5AA0"/>
    <w:rsid w:val="005B6E01"/>
    <w:rsid w:val="005B77AE"/>
    <w:rsid w:val="005D48F2"/>
    <w:rsid w:val="005E015D"/>
    <w:rsid w:val="005E3AFB"/>
    <w:rsid w:val="005E5F98"/>
    <w:rsid w:val="005F2044"/>
    <w:rsid w:val="005F2C2E"/>
    <w:rsid w:val="005F446B"/>
    <w:rsid w:val="005F6869"/>
    <w:rsid w:val="0061165E"/>
    <w:rsid w:val="00612EA1"/>
    <w:rsid w:val="00621F0A"/>
    <w:rsid w:val="006269EA"/>
    <w:rsid w:val="006365AD"/>
    <w:rsid w:val="0064007D"/>
    <w:rsid w:val="00642F19"/>
    <w:rsid w:val="00645472"/>
    <w:rsid w:val="00650C44"/>
    <w:rsid w:val="00660FE1"/>
    <w:rsid w:val="00664527"/>
    <w:rsid w:val="00671ABD"/>
    <w:rsid w:val="00672FFD"/>
    <w:rsid w:val="00674BF2"/>
    <w:rsid w:val="006930E6"/>
    <w:rsid w:val="006B691A"/>
    <w:rsid w:val="006D73CD"/>
    <w:rsid w:val="006F06AB"/>
    <w:rsid w:val="00706CF0"/>
    <w:rsid w:val="00707AAD"/>
    <w:rsid w:val="00715A06"/>
    <w:rsid w:val="0071667B"/>
    <w:rsid w:val="00720DD6"/>
    <w:rsid w:val="00726528"/>
    <w:rsid w:val="00732417"/>
    <w:rsid w:val="007365F0"/>
    <w:rsid w:val="007474F0"/>
    <w:rsid w:val="00756802"/>
    <w:rsid w:val="00763E16"/>
    <w:rsid w:val="007A3EFC"/>
    <w:rsid w:val="007A555B"/>
    <w:rsid w:val="007B4D11"/>
    <w:rsid w:val="007B4EE3"/>
    <w:rsid w:val="007B681A"/>
    <w:rsid w:val="007C5234"/>
    <w:rsid w:val="00801ED1"/>
    <w:rsid w:val="00806340"/>
    <w:rsid w:val="00811688"/>
    <w:rsid w:val="00822FC4"/>
    <w:rsid w:val="00824BAC"/>
    <w:rsid w:val="00831695"/>
    <w:rsid w:val="00837D00"/>
    <w:rsid w:val="008501D1"/>
    <w:rsid w:val="0086681D"/>
    <w:rsid w:val="008735D1"/>
    <w:rsid w:val="008753A1"/>
    <w:rsid w:val="00886313"/>
    <w:rsid w:val="00891400"/>
    <w:rsid w:val="00893F4A"/>
    <w:rsid w:val="008A253B"/>
    <w:rsid w:val="008A3571"/>
    <w:rsid w:val="008E1EC0"/>
    <w:rsid w:val="008F0FF2"/>
    <w:rsid w:val="00902CE8"/>
    <w:rsid w:val="0092128E"/>
    <w:rsid w:val="00924D04"/>
    <w:rsid w:val="00933E1E"/>
    <w:rsid w:val="00935805"/>
    <w:rsid w:val="0094201B"/>
    <w:rsid w:val="009449B8"/>
    <w:rsid w:val="00950EDF"/>
    <w:rsid w:val="009578C0"/>
    <w:rsid w:val="00961197"/>
    <w:rsid w:val="00967968"/>
    <w:rsid w:val="009718C5"/>
    <w:rsid w:val="0097241A"/>
    <w:rsid w:val="00973600"/>
    <w:rsid w:val="00981019"/>
    <w:rsid w:val="009830D9"/>
    <w:rsid w:val="009911C0"/>
    <w:rsid w:val="0099643E"/>
    <w:rsid w:val="009A0FEF"/>
    <w:rsid w:val="009A1ECE"/>
    <w:rsid w:val="009B0343"/>
    <w:rsid w:val="009B6710"/>
    <w:rsid w:val="009B7DDC"/>
    <w:rsid w:val="009C086D"/>
    <w:rsid w:val="009D624A"/>
    <w:rsid w:val="009D66F8"/>
    <w:rsid w:val="009D718E"/>
    <w:rsid w:val="009F45A9"/>
    <w:rsid w:val="00A05080"/>
    <w:rsid w:val="00A12B09"/>
    <w:rsid w:val="00A15924"/>
    <w:rsid w:val="00A2102B"/>
    <w:rsid w:val="00A30073"/>
    <w:rsid w:val="00A310C3"/>
    <w:rsid w:val="00A3220F"/>
    <w:rsid w:val="00A4274F"/>
    <w:rsid w:val="00A46CAA"/>
    <w:rsid w:val="00A57307"/>
    <w:rsid w:val="00A61AED"/>
    <w:rsid w:val="00A65C5D"/>
    <w:rsid w:val="00A877D9"/>
    <w:rsid w:val="00A93EBB"/>
    <w:rsid w:val="00AB3AAA"/>
    <w:rsid w:val="00AC2CAB"/>
    <w:rsid w:val="00AC6247"/>
    <w:rsid w:val="00AD24B0"/>
    <w:rsid w:val="00AD43ED"/>
    <w:rsid w:val="00AD67D3"/>
    <w:rsid w:val="00AE5693"/>
    <w:rsid w:val="00AF079B"/>
    <w:rsid w:val="00AF0B6F"/>
    <w:rsid w:val="00B01860"/>
    <w:rsid w:val="00B05A8B"/>
    <w:rsid w:val="00B1758A"/>
    <w:rsid w:val="00B17829"/>
    <w:rsid w:val="00B40B5B"/>
    <w:rsid w:val="00B45266"/>
    <w:rsid w:val="00B47169"/>
    <w:rsid w:val="00B5011B"/>
    <w:rsid w:val="00B52983"/>
    <w:rsid w:val="00B62979"/>
    <w:rsid w:val="00B7585A"/>
    <w:rsid w:val="00B93D21"/>
    <w:rsid w:val="00BA32CF"/>
    <w:rsid w:val="00BB18AA"/>
    <w:rsid w:val="00BB337F"/>
    <w:rsid w:val="00BB35EE"/>
    <w:rsid w:val="00BC4A7D"/>
    <w:rsid w:val="00BC6180"/>
    <w:rsid w:val="00BD17E1"/>
    <w:rsid w:val="00BD6156"/>
    <w:rsid w:val="00BE0960"/>
    <w:rsid w:val="00BF0111"/>
    <w:rsid w:val="00BF0666"/>
    <w:rsid w:val="00BF32D4"/>
    <w:rsid w:val="00C0792D"/>
    <w:rsid w:val="00C161F5"/>
    <w:rsid w:val="00C21456"/>
    <w:rsid w:val="00C222F6"/>
    <w:rsid w:val="00C252C2"/>
    <w:rsid w:val="00C26DEF"/>
    <w:rsid w:val="00C30658"/>
    <w:rsid w:val="00C3779A"/>
    <w:rsid w:val="00C568FD"/>
    <w:rsid w:val="00C6029E"/>
    <w:rsid w:val="00C704C6"/>
    <w:rsid w:val="00C8209D"/>
    <w:rsid w:val="00C87C5E"/>
    <w:rsid w:val="00C90CEF"/>
    <w:rsid w:val="00C92D45"/>
    <w:rsid w:val="00C95944"/>
    <w:rsid w:val="00C978AA"/>
    <w:rsid w:val="00CA2526"/>
    <w:rsid w:val="00CA6226"/>
    <w:rsid w:val="00CB4F7A"/>
    <w:rsid w:val="00CC0457"/>
    <w:rsid w:val="00CC46FB"/>
    <w:rsid w:val="00CD1876"/>
    <w:rsid w:val="00CD42DC"/>
    <w:rsid w:val="00CD4B9E"/>
    <w:rsid w:val="00D01FB6"/>
    <w:rsid w:val="00D04A5C"/>
    <w:rsid w:val="00D21B5F"/>
    <w:rsid w:val="00D2595B"/>
    <w:rsid w:val="00D30ADE"/>
    <w:rsid w:val="00D31633"/>
    <w:rsid w:val="00D362B4"/>
    <w:rsid w:val="00D43143"/>
    <w:rsid w:val="00D45C9A"/>
    <w:rsid w:val="00D476EF"/>
    <w:rsid w:val="00D5747F"/>
    <w:rsid w:val="00D66B8B"/>
    <w:rsid w:val="00D72006"/>
    <w:rsid w:val="00D75238"/>
    <w:rsid w:val="00D77090"/>
    <w:rsid w:val="00D81422"/>
    <w:rsid w:val="00D81C7B"/>
    <w:rsid w:val="00DA6B59"/>
    <w:rsid w:val="00DA7FE5"/>
    <w:rsid w:val="00DB0683"/>
    <w:rsid w:val="00DD531E"/>
    <w:rsid w:val="00DD540B"/>
    <w:rsid w:val="00DD5483"/>
    <w:rsid w:val="00DD72D4"/>
    <w:rsid w:val="00DE1A0F"/>
    <w:rsid w:val="00DE6CEA"/>
    <w:rsid w:val="00E04C3B"/>
    <w:rsid w:val="00E064C7"/>
    <w:rsid w:val="00E151F9"/>
    <w:rsid w:val="00E47F35"/>
    <w:rsid w:val="00E550CA"/>
    <w:rsid w:val="00E71C84"/>
    <w:rsid w:val="00E724A1"/>
    <w:rsid w:val="00E7439E"/>
    <w:rsid w:val="00E8490B"/>
    <w:rsid w:val="00E87944"/>
    <w:rsid w:val="00EA3A28"/>
    <w:rsid w:val="00EC21DD"/>
    <w:rsid w:val="00EE4C88"/>
    <w:rsid w:val="00F07BD5"/>
    <w:rsid w:val="00F27994"/>
    <w:rsid w:val="00F541E8"/>
    <w:rsid w:val="00F575C1"/>
    <w:rsid w:val="00F60838"/>
    <w:rsid w:val="00F66408"/>
    <w:rsid w:val="00F73856"/>
    <w:rsid w:val="00F745B4"/>
    <w:rsid w:val="00F75644"/>
    <w:rsid w:val="00F84FD6"/>
    <w:rsid w:val="00F91CC0"/>
    <w:rsid w:val="00F96941"/>
    <w:rsid w:val="00FA4310"/>
    <w:rsid w:val="00FB04E2"/>
    <w:rsid w:val="00FC6F21"/>
    <w:rsid w:val="00FD13E2"/>
    <w:rsid w:val="00FD6FED"/>
    <w:rsid w:val="00FE482C"/>
    <w:rsid w:val="00FE4D74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7349E-CF4A-4D84-B209-8769AE4A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E9"/>
  </w:style>
  <w:style w:type="paragraph" w:styleId="Balk1">
    <w:name w:val="heading 1"/>
    <w:basedOn w:val="Normal"/>
    <w:next w:val="Normal"/>
    <w:link w:val="Balk1Char"/>
    <w:uiPriority w:val="9"/>
    <w:qFormat/>
    <w:rsid w:val="003711E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711E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6F8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711E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711E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711E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711E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711E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711E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711E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711E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711E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711E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3711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711E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3711E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711E9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3711E9"/>
    <w:rPr>
      <w:b/>
      <w:bCs/>
    </w:rPr>
  </w:style>
  <w:style w:type="character" w:styleId="Vurgu">
    <w:name w:val="Emphasis"/>
    <w:basedOn w:val="VarsaylanParagrafYazTipi"/>
    <w:uiPriority w:val="20"/>
    <w:qFormat/>
    <w:rsid w:val="003711E9"/>
    <w:rPr>
      <w:i/>
      <w:iCs/>
      <w:color w:val="000000" w:themeColor="text1"/>
    </w:rPr>
  </w:style>
  <w:style w:type="paragraph" w:styleId="AralkYok">
    <w:name w:val="No Spacing"/>
    <w:uiPriority w:val="1"/>
    <w:qFormat/>
    <w:rsid w:val="003711E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711E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3711E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711E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3711E9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3711E9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711E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afifBavuru">
    <w:name w:val="Subtle Reference"/>
    <w:basedOn w:val="VarsaylanParagrafYazTipi"/>
    <w:uiPriority w:val="31"/>
    <w:qFormat/>
    <w:rsid w:val="003711E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3711E9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3711E9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711E9"/>
    <w:pPr>
      <w:outlineLvl w:val="9"/>
    </w:pPr>
  </w:style>
  <w:style w:type="character" w:styleId="Kpr">
    <w:name w:val="Hyperlink"/>
    <w:basedOn w:val="VarsaylanParagrafYazTipi"/>
    <w:uiPriority w:val="99"/>
    <w:unhideWhenUsed/>
    <w:rsid w:val="002A5DB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8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FD6"/>
  </w:style>
  <w:style w:type="paragraph" w:styleId="Altbilgi">
    <w:name w:val="footer"/>
    <w:basedOn w:val="Normal"/>
    <w:link w:val="AltbilgiChar"/>
    <w:uiPriority w:val="99"/>
    <w:unhideWhenUsed/>
    <w:rsid w:val="00F8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FD6"/>
  </w:style>
  <w:style w:type="paragraph" w:styleId="NormalWeb">
    <w:name w:val="Normal (Web)"/>
    <w:basedOn w:val="Normal"/>
    <w:uiPriority w:val="99"/>
    <w:semiHidden/>
    <w:unhideWhenUsed/>
    <w:rsid w:val="00DE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8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lisans.php?y=1106100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1063003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İPEK</dc:creator>
  <cp:keywords/>
  <dc:description/>
  <cp:lastModifiedBy>seda</cp:lastModifiedBy>
  <cp:revision>13</cp:revision>
  <cp:lastPrinted>2018-02-02T09:27:00Z</cp:lastPrinted>
  <dcterms:created xsi:type="dcterms:W3CDTF">2019-06-12T10:38:00Z</dcterms:created>
  <dcterms:modified xsi:type="dcterms:W3CDTF">2019-06-14T07:50:00Z</dcterms:modified>
</cp:coreProperties>
</file>